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5"/>
        <w:tabs>
          <w:tab w:val="left" w:pos="7642"/>
        </w:tabs>
        <w:ind w:firstLine="0"/>
        <w:jc w:val="center"/>
        <w:rPr>
          <w:rFonts w:ascii="宋体" w:hAnsi="宋体" w:eastAsia="宋体" w:cs="宋体"/>
          <w:color w:val="auto"/>
          <w:sz w:val="44"/>
          <w:szCs w:val="44"/>
          <w:highlight w:val="none"/>
        </w:rPr>
      </w:pPr>
      <w:bookmarkStart w:id="0" w:name="_Toc22191"/>
      <w:r>
        <w:rPr>
          <w:rFonts w:hint="eastAsia" w:ascii="宋体" w:hAnsi="宋体" w:eastAsia="宋体" w:cs="宋体"/>
          <w:color w:val="auto"/>
          <w:sz w:val="44"/>
          <w:szCs w:val="44"/>
          <w:highlight w:val="none"/>
        </w:rPr>
        <w:t>第一章 竞争性磋商采购公告</w:t>
      </w:r>
      <w:bookmarkEnd w:id="0"/>
    </w:p>
    <w:p>
      <w:pPr>
        <w:rPr>
          <w:rFonts w:hint="eastAsia" w:ascii="仿宋" w:hAnsi="仿宋" w:eastAsia="仿宋" w:cs="仿宋"/>
          <w:color w:val="auto"/>
          <w:sz w:val="28"/>
          <w:szCs w:val="28"/>
          <w:highlight w:val="none"/>
        </w:rPr>
      </w:pPr>
      <w:bookmarkStart w:id="1" w:name="_Toc14577347"/>
      <w:bookmarkStart w:id="2" w:name="_Toc61149549"/>
      <w:bookmarkStart w:id="3" w:name="_Toc513029209"/>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项目概况</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Style w:val="161"/>
          <w:rFonts w:hint="eastAsia" w:ascii="仿宋" w:hAnsi="仿宋" w:eastAsia="仿宋" w:cs="仿宋"/>
          <w:bCs/>
          <w:color w:val="auto"/>
          <w:sz w:val="28"/>
          <w:szCs w:val="28"/>
          <w:highlight w:val="none"/>
          <w:u w:val="single" w:color="000000"/>
          <w:lang w:eastAsia="zh-CN"/>
        </w:rPr>
        <w:t>江苏省盐城技师学院驾培公司驾驶模拟器</w:t>
      </w:r>
      <w:r>
        <w:rPr>
          <w:rStyle w:val="161"/>
          <w:rFonts w:hint="eastAsia" w:ascii="仿宋" w:hAnsi="仿宋" w:eastAsia="仿宋" w:cs="仿宋"/>
          <w:bCs/>
          <w:color w:val="auto"/>
          <w:sz w:val="28"/>
          <w:szCs w:val="28"/>
          <w:highlight w:val="none"/>
        </w:rPr>
        <w:t>招标项目的潜在投标人应在</w:t>
      </w:r>
      <w:r>
        <w:rPr>
          <w:rStyle w:val="161"/>
          <w:rFonts w:hint="eastAsia" w:ascii="仿宋" w:hAnsi="仿宋" w:eastAsia="仿宋" w:cs="仿宋"/>
          <w:bCs/>
          <w:color w:val="auto"/>
          <w:sz w:val="28"/>
          <w:szCs w:val="28"/>
          <w:highlight w:val="none"/>
          <w:u w:val="single"/>
          <w:lang w:eastAsia="zh-CN"/>
        </w:rPr>
        <w:t>盐城技师学院招投标办公室</w:t>
      </w:r>
      <w:r>
        <w:rPr>
          <w:rStyle w:val="161"/>
          <w:rFonts w:hint="eastAsia" w:ascii="仿宋" w:hAnsi="仿宋" w:eastAsia="仿宋" w:cs="仿宋"/>
          <w:bCs/>
          <w:color w:val="auto"/>
          <w:sz w:val="28"/>
          <w:szCs w:val="28"/>
          <w:highlight w:val="none"/>
        </w:rPr>
        <w:t>获</w:t>
      </w:r>
      <w:r>
        <w:rPr>
          <w:rStyle w:val="161"/>
          <w:rFonts w:hint="eastAsia" w:ascii="仿宋" w:hAnsi="仿宋" w:eastAsia="仿宋" w:cs="仿宋"/>
          <w:color w:val="auto"/>
          <w:sz w:val="28"/>
          <w:szCs w:val="28"/>
          <w:highlight w:val="none"/>
        </w:rPr>
        <w:t>取招标文件，并于</w:t>
      </w:r>
      <w:r>
        <w:rPr>
          <w:rStyle w:val="161"/>
          <w:rFonts w:hint="eastAsia" w:ascii="仿宋" w:hAnsi="仿宋" w:eastAsia="仿宋" w:cs="仿宋"/>
          <w:color w:val="auto"/>
          <w:sz w:val="28"/>
          <w:szCs w:val="28"/>
          <w:highlight w:val="none"/>
          <w:u w:val="single" w:color="000000"/>
        </w:rPr>
        <w:t>202</w:t>
      </w:r>
      <w:r>
        <w:rPr>
          <w:rStyle w:val="161"/>
          <w:rFonts w:hint="eastAsia" w:ascii="仿宋" w:hAnsi="仿宋" w:eastAsia="仿宋" w:cs="仿宋"/>
          <w:color w:val="auto"/>
          <w:sz w:val="28"/>
          <w:szCs w:val="28"/>
          <w:highlight w:val="none"/>
          <w:u w:val="single" w:color="000000"/>
          <w:lang w:val="en-US" w:eastAsia="zh-CN"/>
        </w:rPr>
        <w:t>4</w:t>
      </w:r>
      <w:r>
        <w:rPr>
          <w:rStyle w:val="161"/>
          <w:rFonts w:hint="eastAsia" w:ascii="仿宋" w:hAnsi="仿宋" w:eastAsia="仿宋" w:cs="仿宋"/>
          <w:bCs/>
          <w:color w:val="auto"/>
          <w:sz w:val="28"/>
          <w:szCs w:val="28"/>
          <w:highlight w:val="none"/>
          <w:u w:val="single" w:color="000000"/>
        </w:rPr>
        <w:t>年</w:t>
      </w:r>
      <w:r>
        <w:rPr>
          <w:rStyle w:val="161"/>
          <w:rFonts w:hint="eastAsia" w:ascii="仿宋" w:hAnsi="仿宋" w:eastAsia="仿宋" w:cs="仿宋"/>
          <w:bCs/>
          <w:color w:val="auto"/>
          <w:sz w:val="28"/>
          <w:szCs w:val="28"/>
          <w:highlight w:val="none"/>
          <w:u w:val="single" w:color="000000"/>
          <w:lang w:val="en-US" w:eastAsia="zh-CN"/>
        </w:rPr>
        <w:t>4</w:t>
      </w:r>
      <w:r>
        <w:rPr>
          <w:rStyle w:val="161"/>
          <w:rFonts w:hint="eastAsia" w:ascii="仿宋" w:hAnsi="仿宋" w:eastAsia="仿宋" w:cs="仿宋"/>
          <w:bCs/>
          <w:color w:val="auto"/>
          <w:sz w:val="28"/>
          <w:szCs w:val="28"/>
          <w:highlight w:val="none"/>
          <w:u w:val="single" w:color="000000"/>
        </w:rPr>
        <w:t>月</w:t>
      </w:r>
      <w:r>
        <w:rPr>
          <w:rStyle w:val="161"/>
          <w:rFonts w:hint="eastAsia" w:ascii="仿宋" w:hAnsi="仿宋" w:eastAsia="仿宋" w:cs="仿宋"/>
          <w:bCs/>
          <w:color w:val="auto"/>
          <w:sz w:val="28"/>
          <w:szCs w:val="28"/>
          <w:highlight w:val="none"/>
          <w:u w:val="single" w:color="000000"/>
          <w:lang w:val="en-US" w:eastAsia="zh-CN"/>
        </w:rPr>
        <w:t>17</w:t>
      </w:r>
      <w:r>
        <w:rPr>
          <w:rStyle w:val="161"/>
          <w:rFonts w:hint="eastAsia" w:ascii="仿宋" w:hAnsi="仿宋" w:eastAsia="仿宋" w:cs="仿宋"/>
          <w:bCs/>
          <w:color w:val="auto"/>
          <w:sz w:val="28"/>
          <w:szCs w:val="28"/>
          <w:highlight w:val="none"/>
          <w:u w:val="single" w:color="000000"/>
        </w:rPr>
        <w:t>日</w:t>
      </w:r>
      <w:r>
        <w:rPr>
          <w:rStyle w:val="161"/>
          <w:rFonts w:hint="eastAsia" w:ascii="仿宋" w:hAnsi="仿宋" w:eastAsia="仿宋" w:cs="仿宋"/>
          <w:bCs/>
          <w:color w:val="auto"/>
          <w:sz w:val="28"/>
          <w:szCs w:val="28"/>
          <w:highlight w:val="none"/>
          <w:u w:val="single" w:color="000000"/>
          <w:lang w:val="en-US" w:eastAsia="zh-CN"/>
        </w:rPr>
        <w:t>9</w:t>
      </w:r>
      <w:r>
        <w:rPr>
          <w:rStyle w:val="161"/>
          <w:rFonts w:hint="eastAsia" w:ascii="仿宋" w:hAnsi="仿宋" w:eastAsia="仿宋" w:cs="仿宋"/>
          <w:bCs/>
          <w:color w:val="auto"/>
          <w:sz w:val="28"/>
          <w:szCs w:val="28"/>
          <w:highlight w:val="none"/>
          <w:u w:val="single" w:color="000000"/>
        </w:rPr>
        <w:t>点</w:t>
      </w:r>
      <w:r>
        <w:rPr>
          <w:rStyle w:val="161"/>
          <w:rFonts w:hint="eastAsia" w:ascii="仿宋" w:hAnsi="仿宋" w:eastAsia="仿宋" w:cs="仿宋"/>
          <w:bCs/>
          <w:color w:val="auto"/>
          <w:sz w:val="28"/>
          <w:szCs w:val="28"/>
          <w:highlight w:val="none"/>
          <w:u w:val="single" w:color="000000"/>
          <w:lang w:val="en-US" w:eastAsia="zh-CN"/>
        </w:rPr>
        <w:t>00</w:t>
      </w:r>
      <w:r>
        <w:rPr>
          <w:rStyle w:val="161"/>
          <w:rFonts w:hint="eastAsia" w:ascii="仿宋" w:hAnsi="仿宋" w:eastAsia="仿宋" w:cs="仿宋"/>
          <w:bCs/>
          <w:color w:val="auto"/>
          <w:sz w:val="28"/>
          <w:szCs w:val="28"/>
          <w:highlight w:val="none"/>
          <w:u w:val="single" w:color="000000"/>
        </w:rPr>
        <w:t>分（</w:t>
      </w:r>
      <w:r>
        <w:rPr>
          <w:rStyle w:val="161"/>
          <w:rFonts w:hint="eastAsia" w:ascii="仿宋" w:hAnsi="仿宋" w:eastAsia="仿宋" w:cs="仿宋"/>
          <w:bCs/>
          <w:color w:val="auto"/>
          <w:sz w:val="28"/>
          <w:szCs w:val="28"/>
          <w:highlight w:val="none"/>
        </w:rPr>
        <w:t>北京时间）前递交投标文件</w:t>
      </w:r>
      <w:r>
        <w:rPr>
          <w:rStyle w:val="161"/>
          <w:rFonts w:hint="eastAsia" w:ascii="仿宋" w:hAnsi="仿宋" w:eastAsia="仿宋" w:cs="仿宋"/>
          <w:color w:val="auto"/>
          <w:sz w:val="28"/>
          <w:szCs w:val="28"/>
          <w:highlight w:val="none"/>
        </w:rPr>
        <w:t>。</w:t>
      </w:r>
    </w:p>
    <w:p>
      <w:pPr>
        <w:pStyle w:val="4"/>
        <w:pageBreakBefore w:val="0"/>
        <w:kinsoku/>
        <w:wordWrap/>
        <w:overflowPunct/>
        <w:topLinePunct w:val="0"/>
        <w:autoSpaceDE/>
        <w:autoSpaceDN/>
        <w:bidi w:val="0"/>
        <w:adjustRightInd w:val="0"/>
        <w:snapToGrid w:val="0"/>
        <w:spacing w:before="0" w:after="0" w:line="240" w:lineRule="auto"/>
        <w:jc w:val="both"/>
        <w:rPr>
          <w:rFonts w:hint="eastAsia" w:ascii="仿宋" w:hAnsi="仿宋" w:eastAsia="仿宋" w:cs="仿宋"/>
          <w:b w:val="0"/>
          <w:color w:val="auto"/>
          <w:sz w:val="28"/>
          <w:szCs w:val="28"/>
          <w:highlight w:val="none"/>
        </w:rPr>
      </w:pPr>
      <w:bookmarkStart w:id="4" w:name="_Toc35393629"/>
      <w:bookmarkStart w:id="5" w:name="_Toc35393798"/>
      <w:bookmarkStart w:id="6" w:name="_Toc28359012"/>
      <w:bookmarkStart w:id="7" w:name="_Toc28359089"/>
    </w:p>
    <w:p>
      <w:pPr>
        <w:pStyle w:val="4"/>
        <w:pageBreakBefore w:val="0"/>
        <w:widowControl w:val="0"/>
        <w:kinsoku/>
        <w:wordWrap/>
        <w:overflowPunct/>
        <w:topLinePunct w:val="0"/>
        <w:autoSpaceDE/>
        <w:autoSpaceDN/>
        <w:bidi w:val="0"/>
        <w:adjustRightInd w:val="0"/>
        <w:snapToGrid w:val="0"/>
        <w:spacing w:before="0" w:after="0" w:line="400" w:lineRule="exact"/>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一、项目基本情况</w:t>
      </w:r>
      <w:bookmarkEnd w:id="4"/>
      <w:bookmarkEnd w:id="5"/>
      <w:bookmarkEnd w:id="6"/>
      <w:bookmarkEnd w:id="7"/>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rPr>
        <w:t>项目编号：</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11#</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2.</w:t>
      </w:r>
      <w:r>
        <w:rPr>
          <w:rFonts w:hint="eastAsia" w:ascii="宋体" w:hAnsi="宋体" w:eastAsia="宋体" w:cs="宋体"/>
          <w:b/>
          <w:bCs/>
          <w:color w:val="auto"/>
          <w:sz w:val="28"/>
          <w:szCs w:val="28"/>
          <w:highlight w:val="none"/>
        </w:rPr>
        <w:t>项目名称：</w:t>
      </w:r>
      <w:r>
        <w:rPr>
          <w:rFonts w:hint="eastAsia" w:ascii="宋体" w:hAnsi="宋体" w:eastAsia="宋体" w:cs="宋体"/>
          <w:color w:val="auto"/>
          <w:sz w:val="28"/>
          <w:szCs w:val="28"/>
          <w:highlight w:val="none"/>
          <w:lang w:eastAsia="zh-CN"/>
        </w:rPr>
        <w:t>江苏省盐城技师学院驾培公司驾驶模拟器</w:t>
      </w:r>
      <w:r>
        <w:rPr>
          <w:rFonts w:hint="eastAsia" w:ascii="宋体" w:hAnsi="宋体" w:eastAsia="宋体" w:cs="宋体"/>
          <w:color w:val="auto"/>
          <w:sz w:val="28"/>
          <w:szCs w:val="28"/>
          <w:highlight w:val="none"/>
        </w:rPr>
        <w:t>项目</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3.</w:t>
      </w:r>
      <w:r>
        <w:rPr>
          <w:rFonts w:hint="eastAsia" w:ascii="宋体" w:hAnsi="宋体" w:eastAsia="宋体" w:cs="宋体"/>
          <w:b/>
          <w:bCs/>
          <w:color w:val="auto"/>
          <w:sz w:val="28"/>
          <w:szCs w:val="28"/>
          <w:highlight w:val="none"/>
        </w:rPr>
        <w:t>采购方式：</w:t>
      </w:r>
      <w:r>
        <w:rPr>
          <w:rFonts w:hint="eastAsia" w:ascii="宋体" w:hAnsi="宋体" w:eastAsia="宋体" w:cs="宋体"/>
          <w:color w:val="auto"/>
          <w:sz w:val="28"/>
          <w:szCs w:val="28"/>
          <w:highlight w:val="none"/>
        </w:rPr>
        <w:t>竞争性磋商</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最高限价：</w:t>
      </w:r>
      <w:r>
        <w:rPr>
          <w:rFonts w:hint="eastAsia" w:ascii="宋体" w:hAnsi="宋体" w:eastAsia="宋体" w:cs="宋体"/>
          <w:color w:val="auto"/>
          <w:sz w:val="28"/>
          <w:szCs w:val="28"/>
          <w:highlight w:val="none"/>
        </w:rPr>
        <w:t>投标人报价如高于</w:t>
      </w:r>
      <w:r>
        <w:rPr>
          <w:rFonts w:hint="eastAsia" w:ascii="宋体" w:hAnsi="宋体" w:eastAsia="宋体" w:cs="宋体"/>
          <w:color w:val="auto"/>
          <w:sz w:val="28"/>
          <w:szCs w:val="28"/>
          <w:highlight w:val="none"/>
          <w:lang w:val="en-US" w:eastAsia="zh-CN"/>
        </w:rPr>
        <w:t>100</w:t>
      </w:r>
      <w:r>
        <w:rPr>
          <w:rFonts w:hint="eastAsia" w:ascii="宋体" w:hAnsi="宋体" w:eastAsia="宋体" w:cs="宋体"/>
          <w:color w:val="auto"/>
          <w:sz w:val="28"/>
          <w:szCs w:val="28"/>
          <w:highlight w:val="none"/>
        </w:rPr>
        <w:t>元/</w:t>
      </w:r>
      <w:r>
        <w:rPr>
          <w:rFonts w:hint="eastAsia" w:ascii="宋体" w:hAnsi="宋体" w:eastAsia="宋体" w:cs="宋体"/>
          <w:color w:val="auto"/>
          <w:sz w:val="28"/>
          <w:szCs w:val="28"/>
          <w:highlight w:val="none"/>
          <w:lang w:eastAsia="zh-CN"/>
        </w:rPr>
        <w:t>人</w:t>
      </w:r>
      <w:r>
        <w:rPr>
          <w:rFonts w:hint="eastAsia" w:ascii="宋体" w:hAnsi="宋体" w:eastAsia="宋体" w:cs="宋体"/>
          <w:color w:val="auto"/>
          <w:sz w:val="28"/>
          <w:szCs w:val="28"/>
          <w:highlight w:val="none"/>
        </w:rPr>
        <w:t>，将视为无效响应。</w:t>
      </w:r>
    </w:p>
    <w:p>
      <w:pPr>
        <w:pageBreakBefore w:val="0"/>
        <w:kinsoku/>
        <w:wordWrap/>
        <w:overflowPunct/>
        <w:topLinePunct w:val="0"/>
        <w:autoSpaceDE/>
        <w:autoSpaceDN/>
        <w:bidi w:val="0"/>
        <w:adjustRightInd w:val="0"/>
        <w:snapToGrid w:val="0"/>
        <w:spacing w:line="400" w:lineRule="exact"/>
        <w:ind w:firstLine="562" w:firstLineChars="200"/>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5.</w:t>
      </w:r>
      <w:r>
        <w:rPr>
          <w:rFonts w:hint="eastAsia" w:ascii="宋体" w:hAnsi="宋体" w:eastAsia="宋体" w:cs="宋体"/>
          <w:b/>
          <w:bCs/>
          <w:color w:val="auto"/>
          <w:sz w:val="28"/>
          <w:szCs w:val="28"/>
          <w:highlight w:val="none"/>
        </w:rPr>
        <w:t>采购需求</w:t>
      </w:r>
      <w:r>
        <w:rPr>
          <w:rFonts w:hint="eastAsia" w:ascii="宋体" w:hAnsi="宋体" w:eastAsia="宋体" w:cs="宋体"/>
          <w:b/>
          <w:bCs/>
          <w:color w:val="auto"/>
          <w:sz w:val="28"/>
          <w:szCs w:val="28"/>
          <w:highlight w:val="none"/>
          <w:lang w:eastAsia="zh-CN"/>
        </w:rPr>
        <w:t>：</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设备标准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符合中华人民共和国交通运输行业JT/T 378—2022的标准；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具有接入盐城驾培计时系统端口的资质，并保证投放的模拟器与在盐城地区备案的检测报告中数据一致。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使用数量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总计22台，其中C1型17台、C2型4台、大型车1台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（三）</w:t>
      </w:r>
      <w:r>
        <w:rPr>
          <w:rFonts w:hint="eastAsia" w:ascii="宋体" w:hAnsi="宋体" w:eastAsia="宋体" w:cs="宋体"/>
          <w:color w:val="auto"/>
          <w:sz w:val="28"/>
          <w:szCs w:val="28"/>
          <w:highlight w:val="none"/>
        </w:rPr>
        <w:t>合作方式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中标人投放，发标人按完成规定学时的学员人数租赁</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（四）</w:t>
      </w:r>
      <w:r>
        <w:rPr>
          <w:rFonts w:hint="eastAsia" w:ascii="宋体" w:hAnsi="宋体" w:eastAsia="宋体" w:cs="宋体"/>
          <w:color w:val="auto"/>
          <w:sz w:val="28"/>
          <w:szCs w:val="28"/>
          <w:highlight w:val="none"/>
        </w:rPr>
        <w:t>投放地点</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盐城盐南高新区海洋路29号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C1型15台、C2型4台、大型车1台；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盐城盐南开发区兴业路32号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C1型2台。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（五）</w:t>
      </w:r>
      <w:r>
        <w:rPr>
          <w:rFonts w:hint="eastAsia" w:ascii="宋体" w:hAnsi="宋体" w:eastAsia="宋体" w:cs="宋体"/>
          <w:color w:val="auto"/>
          <w:sz w:val="28"/>
          <w:szCs w:val="28"/>
          <w:highlight w:val="none"/>
        </w:rPr>
        <w:t>服务要求</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中标人接“中标通知书”后一周内完成安装、调试和交付使用；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报修后工作人员4小时内到达现场维修，不能立刻修复使用的应更换；</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中标人及时升级或按行业要求更新模拟器功能；</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中标人承担模拟器的保养维修、升级更新等費用，确保发标人正常使用；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（六）</w:t>
      </w:r>
      <w:r>
        <w:rPr>
          <w:rFonts w:hint="eastAsia" w:ascii="宋体" w:hAnsi="宋体" w:eastAsia="宋体" w:cs="宋体"/>
          <w:color w:val="auto"/>
          <w:sz w:val="28"/>
          <w:szCs w:val="28"/>
          <w:highlight w:val="none"/>
        </w:rPr>
        <w:t>费用结算</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月结；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中标人统计一个月中在模拟器已完成规定学时的学员人数，按中标价核算并开据增值税专票，发标人核对后报结。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（七）</w:t>
      </w:r>
      <w:r>
        <w:rPr>
          <w:rFonts w:hint="eastAsia" w:ascii="宋体" w:hAnsi="宋体" w:eastAsia="宋体" w:cs="宋体"/>
          <w:color w:val="auto"/>
          <w:sz w:val="28"/>
          <w:szCs w:val="28"/>
          <w:highlight w:val="none"/>
        </w:rPr>
        <w:t>租赁期限</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（八）</w:t>
      </w:r>
      <w:r>
        <w:rPr>
          <w:rFonts w:hint="eastAsia" w:ascii="宋体" w:hAnsi="宋体" w:eastAsia="宋体" w:cs="宋体"/>
          <w:color w:val="auto"/>
          <w:sz w:val="28"/>
          <w:szCs w:val="28"/>
          <w:highlight w:val="none"/>
        </w:rPr>
        <w:t>报价方式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按每个完成规定学时的学员报模拟器学习费单价（开票单价）。</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6.本项目</w:t>
      </w:r>
      <w:r>
        <w:rPr>
          <w:rFonts w:hint="eastAsia" w:ascii="宋体" w:hAnsi="宋体" w:eastAsia="宋体" w:cs="宋体"/>
          <w:b/>
          <w:bCs/>
          <w:color w:val="auto"/>
          <w:sz w:val="28"/>
          <w:szCs w:val="28"/>
          <w:highlight w:val="none"/>
          <w:u w:val="single"/>
          <w:lang w:val="en-US" w:eastAsia="zh-CN"/>
        </w:rPr>
        <w:t>不接受</w:t>
      </w:r>
      <w:r>
        <w:rPr>
          <w:rFonts w:hint="eastAsia" w:ascii="宋体" w:hAnsi="宋体" w:eastAsia="宋体" w:cs="宋体"/>
          <w:b/>
          <w:bCs/>
          <w:color w:val="auto"/>
          <w:sz w:val="28"/>
          <w:szCs w:val="28"/>
          <w:highlight w:val="none"/>
          <w:lang w:val="en-US" w:eastAsia="zh-CN"/>
        </w:rPr>
        <w:t>联合体。</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kern w:val="2"/>
          <w:sz w:val="28"/>
          <w:szCs w:val="28"/>
          <w:highlight w:val="none"/>
          <w:lang w:val="en-US" w:eastAsia="zh-CN" w:bidi="ar-SA"/>
        </w:rPr>
      </w:pPr>
      <w:bookmarkStart w:id="8" w:name="_Toc28359090"/>
      <w:bookmarkStart w:id="9" w:name="_Toc28359013"/>
      <w:bookmarkStart w:id="10" w:name="_Toc35393799"/>
      <w:bookmarkStart w:id="11" w:name="_Toc35393630"/>
      <w:r>
        <w:rPr>
          <w:rFonts w:hint="eastAsia" w:ascii="宋体" w:hAnsi="宋体" w:eastAsia="宋体" w:cs="宋体"/>
          <w:b/>
          <w:bCs/>
          <w:color w:val="auto"/>
          <w:kern w:val="2"/>
          <w:sz w:val="28"/>
          <w:szCs w:val="28"/>
          <w:highlight w:val="none"/>
          <w:lang w:val="en-US" w:eastAsia="zh-CN" w:bidi="ar-SA"/>
        </w:rPr>
        <w:t>二、申请人的资格要求：</w:t>
      </w:r>
      <w:bookmarkEnd w:id="8"/>
      <w:bookmarkEnd w:id="9"/>
      <w:bookmarkEnd w:id="10"/>
      <w:bookmarkEnd w:id="11"/>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bookmarkStart w:id="12" w:name="_Toc28359014"/>
      <w:bookmarkStart w:id="13" w:name="_Toc35393800"/>
      <w:bookmarkStart w:id="14" w:name="_Toc35393631"/>
      <w:bookmarkStart w:id="15" w:name="_Toc28359091"/>
      <w:r>
        <w:rPr>
          <w:rFonts w:hint="eastAsia" w:ascii="宋体" w:hAnsi="宋体" w:eastAsia="宋体" w:cs="宋体"/>
          <w:b w:val="0"/>
          <w:color w:val="auto"/>
          <w:kern w:val="2"/>
          <w:sz w:val="28"/>
          <w:szCs w:val="28"/>
          <w:highlight w:val="none"/>
          <w:lang w:val="en-US" w:eastAsia="zh-CN" w:bidi="ar-SA"/>
        </w:rPr>
        <w:t>1.满足《中华人民共和国政府采购法》第二十二条规定，并提供下列材料；</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(1)法人或者其他组织的营业执照等证明文件，自然人的身份证明；</w:t>
      </w:r>
    </w:p>
    <w:p>
      <w:pPr>
        <w:pageBreakBefore w:val="0"/>
        <w:kinsoku/>
        <w:wordWrap/>
        <w:overflowPunct/>
        <w:topLinePunct w:val="0"/>
        <w:autoSpaceDE/>
        <w:autoSpaceDN/>
        <w:bidi w:val="0"/>
        <w:adjustRightInd w:val="0"/>
        <w:snapToGrid w:val="0"/>
        <w:spacing w:line="400" w:lineRule="exact"/>
        <w:ind w:firstLine="280" w:firstLineChars="1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(2)上一年度（2023年）的财务报表（成立不满一年不需提供）；</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(3)依法缴纳税收和社会保障资金的相关材料，依法免税或不需要缴纳社会保障资金的，应提供相应文件证明材料； </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(4)具备履行合同所必需的专业技术能力的书面声明；</w:t>
      </w:r>
    </w:p>
    <w:p>
      <w:pPr>
        <w:pageBreakBefore w:val="0"/>
        <w:kinsoku/>
        <w:wordWrap/>
        <w:overflowPunct/>
        <w:topLinePunct w:val="0"/>
        <w:autoSpaceDE/>
        <w:autoSpaceDN/>
        <w:bidi w:val="0"/>
        <w:adjustRightInd w:val="0"/>
        <w:snapToGrid w:val="0"/>
        <w:spacing w:line="400" w:lineRule="exact"/>
        <w:ind w:left="480" w:hanging="560" w:hanging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(5)参加政府采购活动前3年内在经营活动中没有重大违法记录的书面声明；</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2.本项目的特定资格要求：</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（1）投标人为中华人民共和国境内注册，具有独立法人资格和相关经营范围的经营实体；</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（2）未被“信用中国”网站（www.creditchina.gov.cn）列入失信被执行人、重大税收违法案件当事人名单、政府采购严重失信行为记录名单。</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（3）单位负责人为同一人或者存在直接控股、管理关系的不同供应商，不得同时参加本采购活动。</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三、获取采购文件</w:t>
      </w:r>
      <w:bookmarkEnd w:id="12"/>
      <w:bookmarkEnd w:id="13"/>
      <w:bookmarkEnd w:id="14"/>
      <w:bookmarkEnd w:id="15"/>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61"/>
          <w:rFonts w:hint="eastAsia" w:ascii="宋体" w:hAnsi="宋体" w:eastAsia="宋体" w:cs="宋体"/>
          <w:color w:val="auto"/>
          <w:sz w:val="28"/>
          <w:szCs w:val="28"/>
          <w:highlight w:val="none"/>
          <w:lang w:val="en-US" w:eastAsia="zh-CN"/>
        </w:rPr>
      </w:pPr>
      <w:bookmarkStart w:id="16" w:name="_Toc28359015"/>
      <w:bookmarkStart w:id="17" w:name="_Toc35393632"/>
      <w:bookmarkStart w:id="18" w:name="_Toc28359092"/>
      <w:bookmarkStart w:id="19" w:name="_Toc35393801"/>
      <w:r>
        <w:rPr>
          <w:rStyle w:val="161"/>
          <w:rFonts w:hint="eastAsia" w:ascii="宋体" w:hAnsi="宋体" w:eastAsia="宋体" w:cs="宋体"/>
          <w:color w:val="auto"/>
          <w:sz w:val="28"/>
          <w:szCs w:val="28"/>
          <w:highlight w:val="none"/>
        </w:rPr>
        <w:t>时间：</w:t>
      </w:r>
      <w:r>
        <w:rPr>
          <w:rStyle w:val="161"/>
          <w:rFonts w:hint="eastAsia" w:ascii="宋体" w:hAnsi="宋体" w:eastAsia="宋体" w:cs="宋体"/>
          <w:color w:val="auto"/>
          <w:sz w:val="28"/>
          <w:szCs w:val="28"/>
          <w:highlight w:val="none"/>
          <w:lang w:val="en-US" w:eastAsia="zh-CN"/>
        </w:rPr>
        <w:t>2024年4月</w:t>
      </w:r>
      <w:r>
        <w:rPr>
          <w:rStyle w:val="161"/>
          <w:rFonts w:hint="eastAsia" w:ascii="宋体" w:hAnsi="宋体" w:cs="宋体"/>
          <w:color w:val="auto"/>
          <w:sz w:val="28"/>
          <w:szCs w:val="28"/>
          <w:highlight w:val="none"/>
          <w:lang w:val="en-US" w:eastAsia="zh-CN"/>
        </w:rPr>
        <w:t>7</w:t>
      </w:r>
      <w:r>
        <w:rPr>
          <w:rStyle w:val="161"/>
          <w:rFonts w:hint="eastAsia" w:ascii="宋体" w:hAnsi="宋体" w:eastAsia="宋体" w:cs="宋体"/>
          <w:color w:val="auto"/>
          <w:sz w:val="28"/>
          <w:szCs w:val="28"/>
          <w:highlight w:val="none"/>
          <w:lang w:val="en-US" w:eastAsia="zh-CN"/>
        </w:rPr>
        <w:t>日至4月</w:t>
      </w:r>
      <w:r>
        <w:rPr>
          <w:rStyle w:val="161"/>
          <w:rFonts w:hint="eastAsia" w:ascii="宋体" w:hAnsi="宋体" w:cs="宋体"/>
          <w:color w:val="auto"/>
          <w:sz w:val="28"/>
          <w:szCs w:val="28"/>
          <w:highlight w:val="none"/>
          <w:lang w:val="en-US" w:eastAsia="zh-CN"/>
        </w:rPr>
        <w:t>11</w:t>
      </w:r>
      <w:r>
        <w:rPr>
          <w:rStyle w:val="161"/>
          <w:rFonts w:hint="eastAsia" w:ascii="宋体" w:hAnsi="宋体" w:eastAsia="宋体" w:cs="宋体"/>
          <w:color w:val="auto"/>
          <w:sz w:val="28"/>
          <w:szCs w:val="28"/>
          <w:highlight w:val="none"/>
          <w:lang w:val="en-US" w:eastAsia="zh-CN"/>
        </w:rPr>
        <w:t>日，每天上午8:30-11:30，下午14:30-17:30（北京时间，法定节假日除外）</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地点：</w:t>
      </w:r>
      <w:r>
        <w:rPr>
          <w:rStyle w:val="161"/>
          <w:rFonts w:hint="eastAsia" w:ascii="宋体" w:hAnsi="宋体" w:eastAsia="宋体" w:cs="宋体"/>
          <w:color w:val="auto"/>
          <w:sz w:val="28"/>
          <w:szCs w:val="28"/>
          <w:highlight w:val="none"/>
          <w:lang w:eastAsia="zh-CN"/>
        </w:rPr>
        <w:t>江苏省盐城技师学院匠心楼</w:t>
      </w:r>
      <w:r>
        <w:rPr>
          <w:rStyle w:val="161"/>
          <w:rFonts w:hint="eastAsia" w:ascii="宋体" w:hAnsi="宋体" w:eastAsia="宋体" w:cs="宋体"/>
          <w:color w:val="auto"/>
          <w:sz w:val="28"/>
          <w:szCs w:val="28"/>
          <w:highlight w:val="none"/>
          <w:lang w:val="en-US" w:eastAsia="zh-CN"/>
        </w:rPr>
        <w:t>1412办公室</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61"/>
          <w:rFonts w:hint="eastAsia" w:ascii="宋体" w:hAnsi="宋体" w:eastAsia="宋体" w:cs="宋体"/>
          <w:color w:val="auto"/>
          <w:sz w:val="28"/>
          <w:szCs w:val="28"/>
          <w:highlight w:val="none"/>
          <w:lang w:eastAsia="zh-CN"/>
        </w:rPr>
      </w:pPr>
      <w:r>
        <w:rPr>
          <w:rStyle w:val="161"/>
          <w:rFonts w:hint="eastAsia" w:ascii="宋体" w:hAnsi="宋体" w:eastAsia="宋体" w:cs="宋体"/>
          <w:color w:val="auto"/>
          <w:sz w:val="28"/>
          <w:szCs w:val="28"/>
          <w:highlight w:val="none"/>
          <w:lang w:eastAsia="zh-CN"/>
        </w:rPr>
        <w:t>方式：符合资格要求的投标人将单位介绍信或授权委托书（注明联系人、联系方式及邮箱，以便及时联系，无法联系的责任由申请人自负）和被授权人身份证复印件加盖公章至江苏省盐城技师学院海洋路校区获取招标文件。</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val="0"/>
          <w:color w:val="auto"/>
          <w:sz w:val="28"/>
          <w:szCs w:val="28"/>
          <w:highlight w:val="none"/>
        </w:rPr>
      </w:pPr>
      <w:r>
        <w:rPr>
          <w:rFonts w:hint="eastAsia" w:ascii="宋体" w:hAnsi="宋体" w:eastAsia="宋体" w:cs="宋体"/>
          <w:b/>
          <w:bCs/>
          <w:color w:val="auto"/>
          <w:sz w:val="28"/>
          <w:szCs w:val="28"/>
          <w:highlight w:val="none"/>
        </w:rPr>
        <w:t>四、响应文件提交</w:t>
      </w:r>
      <w:bookmarkEnd w:id="16"/>
      <w:bookmarkEnd w:id="17"/>
      <w:bookmarkEnd w:id="18"/>
      <w:bookmarkEnd w:id="19"/>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截止时间：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 xml:space="preserve">17 </w:t>
      </w:r>
      <w:r>
        <w:rPr>
          <w:rFonts w:hint="eastAsia" w:ascii="宋体" w:hAnsi="宋体" w:eastAsia="宋体" w:cs="宋体"/>
          <w:bCs/>
          <w:color w:val="auto"/>
          <w:sz w:val="28"/>
          <w:szCs w:val="28"/>
          <w:highlight w:val="none"/>
          <w:u w:val="single"/>
        </w:rPr>
        <w:t>日9点</w:t>
      </w:r>
      <w:r>
        <w:rPr>
          <w:rFonts w:hint="eastAsia" w:ascii="宋体" w:hAnsi="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地点：</w:t>
      </w:r>
      <w:r>
        <w:rPr>
          <w:rFonts w:hint="eastAsia" w:ascii="宋体" w:hAnsi="宋体" w:eastAsia="宋体" w:cs="宋体"/>
          <w:color w:val="auto"/>
          <w:sz w:val="28"/>
          <w:szCs w:val="28"/>
          <w:highlight w:val="none"/>
          <w:lang w:eastAsia="zh-CN"/>
        </w:rPr>
        <w:t>江苏省</w:t>
      </w:r>
      <w:r>
        <w:rPr>
          <w:rStyle w:val="161"/>
          <w:rFonts w:hint="eastAsia" w:ascii="宋体" w:hAnsi="宋体" w:eastAsia="宋体" w:cs="宋体"/>
          <w:color w:val="auto"/>
          <w:sz w:val="28"/>
          <w:szCs w:val="28"/>
          <w:highlight w:val="none"/>
          <w:lang w:eastAsia="zh-CN"/>
        </w:rPr>
        <w:t>盐城技师学院</w:t>
      </w:r>
      <w:r>
        <w:rPr>
          <w:rStyle w:val="161"/>
          <w:rFonts w:hint="eastAsia" w:ascii="宋体" w:hAnsi="宋体" w:eastAsia="宋体" w:cs="宋体"/>
          <w:color w:val="auto"/>
          <w:sz w:val="28"/>
          <w:szCs w:val="28"/>
          <w:highlight w:val="none"/>
        </w:rPr>
        <w:t>（盐城市</w:t>
      </w:r>
      <w:r>
        <w:rPr>
          <w:rStyle w:val="161"/>
          <w:rFonts w:hint="eastAsia" w:ascii="宋体" w:hAnsi="宋体" w:eastAsia="宋体" w:cs="宋体"/>
          <w:color w:val="auto"/>
          <w:sz w:val="28"/>
          <w:szCs w:val="28"/>
          <w:highlight w:val="none"/>
          <w:lang w:eastAsia="zh-CN"/>
        </w:rPr>
        <w:t>盐都区海洋路</w:t>
      </w:r>
      <w:r>
        <w:rPr>
          <w:rStyle w:val="161"/>
          <w:rFonts w:hint="eastAsia" w:ascii="宋体" w:hAnsi="宋体" w:eastAsia="宋体" w:cs="宋体"/>
          <w:color w:val="auto"/>
          <w:sz w:val="28"/>
          <w:szCs w:val="28"/>
          <w:highlight w:val="none"/>
          <w:lang w:val="en-US" w:eastAsia="zh-CN"/>
        </w:rPr>
        <w:t>29</w:t>
      </w:r>
      <w:r>
        <w:rPr>
          <w:rStyle w:val="161"/>
          <w:rFonts w:hint="eastAsia" w:ascii="宋体" w:hAnsi="宋体" w:eastAsia="宋体" w:cs="宋体"/>
          <w:color w:val="auto"/>
          <w:sz w:val="28"/>
          <w:szCs w:val="28"/>
          <w:highlight w:val="none"/>
        </w:rPr>
        <w:t>号）</w:t>
      </w:r>
      <w:r>
        <w:rPr>
          <w:rStyle w:val="161"/>
          <w:rFonts w:hint="eastAsia" w:ascii="宋体" w:hAnsi="宋体" w:eastAsia="宋体" w:cs="宋体"/>
          <w:color w:val="auto"/>
          <w:sz w:val="28"/>
          <w:szCs w:val="28"/>
          <w:highlight w:val="none"/>
          <w:lang w:eastAsia="zh-CN"/>
        </w:rPr>
        <w:t>匠心楼</w:t>
      </w:r>
      <w:r>
        <w:rPr>
          <w:rStyle w:val="161"/>
          <w:rFonts w:hint="eastAsia" w:ascii="宋体" w:hAnsi="宋体" w:eastAsia="宋体" w:cs="宋体"/>
          <w:color w:val="auto"/>
          <w:sz w:val="28"/>
          <w:szCs w:val="28"/>
          <w:highlight w:val="none"/>
          <w:lang w:val="en-US" w:eastAsia="zh-CN"/>
        </w:rPr>
        <w:t>1414会议室</w:t>
      </w:r>
      <w:r>
        <w:rPr>
          <w:rStyle w:val="161"/>
          <w:rFonts w:hint="eastAsia" w:ascii="宋体" w:hAnsi="宋体" w:eastAsia="宋体" w:cs="宋体"/>
          <w:color w:val="auto"/>
          <w:sz w:val="28"/>
          <w:szCs w:val="28"/>
          <w:highlight w:val="none"/>
        </w:rPr>
        <w:t>。</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0" w:name="_Toc28359093"/>
      <w:bookmarkStart w:id="21" w:name="_Toc35393802"/>
      <w:bookmarkStart w:id="22" w:name="_Toc35393633"/>
      <w:bookmarkStart w:id="23" w:name="_Toc28359016"/>
      <w:bookmarkStart w:id="24" w:name="_Toc35393803"/>
      <w:bookmarkStart w:id="25" w:name="_Toc28359094"/>
      <w:bookmarkStart w:id="26" w:name="_Toc28359017"/>
      <w:bookmarkStart w:id="27" w:name="_Toc35393634"/>
      <w:r>
        <w:rPr>
          <w:rFonts w:hint="eastAsia" w:ascii="宋体" w:hAnsi="宋体" w:eastAsia="宋体" w:cs="宋体"/>
          <w:b/>
          <w:bCs/>
          <w:color w:val="auto"/>
          <w:sz w:val="28"/>
          <w:szCs w:val="28"/>
          <w:highlight w:val="none"/>
        </w:rPr>
        <w:t>五、开启</w:t>
      </w:r>
      <w:bookmarkEnd w:id="20"/>
      <w:bookmarkEnd w:id="21"/>
      <w:bookmarkEnd w:id="22"/>
      <w:bookmarkEnd w:id="23"/>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u w:val="single"/>
        </w:rPr>
      </w:pP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 xml:space="preserve">17 </w:t>
      </w:r>
      <w:r>
        <w:rPr>
          <w:rFonts w:hint="eastAsia" w:ascii="宋体" w:hAnsi="宋体" w:eastAsia="宋体" w:cs="宋体"/>
          <w:bCs/>
          <w:color w:val="auto"/>
          <w:sz w:val="28"/>
          <w:szCs w:val="28"/>
          <w:highlight w:val="none"/>
          <w:u w:val="single"/>
        </w:rPr>
        <w:t>日9点</w:t>
      </w:r>
      <w:r>
        <w:rPr>
          <w:rFonts w:hint="eastAsia" w:ascii="宋体" w:hAnsi="宋体" w:eastAsia="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地点：</w:t>
      </w:r>
      <w:r>
        <w:rPr>
          <w:rStyle w:val="161"/>
          <w:rFonts w:hint="eastAsia" w:ascii="宋体" w:hAnsi="宋体" w:eastAsia="宋体" w:cs="宋体"/>
          <w:color w:val="auto"/>
          <w:sz w:val="28"/>
          <w:szCs w:val="28"/>
          <w:highlight w:val="none"/>
          <w:lang w:eastAsia="zh-CN"/>
        </w:rPr>
        <w:t>江苏省盐城技师学院</w:t>
      </w:r>
      <w:r>
        <w:rPr>
          <w:rStyle w:val="161"/>
          <w:rFonts w:hint="eastAsia" w:ascii="宋体" w:hAnsi="宋体" w:eastAsia="宋体" w:cs="宋体"/>
          <w:color w:val="auto"/>
          <w:sz w:val="28"/>
          <w:szCs w:val="28"/>
          <w:highlight w:val="none"/>
        </w:rPr>
        <w:t>（盐城市</w:t>
      </w:r>
      <w:r>
        <w:rPr>
          <w:rStyle w:val="161"/>
          <w:rFonts w:hint="eastAsia" w:ascii="宋体" w:hAnsi="宋体" w:eastAsia="宋体" w:cs="宋体"/>
          <w:color w:val="auto"/>
          <w:sz w:val="28"/>
          <w:szCs w:val="28"/>
          <w:highlight w:val="none"/>
          <w:lang w:eastAsia="zh-CN"/>
        </w:rPr>
        <w:t>盐都区海洋路</w:t>
      </w:r>
      <w:r>
        <w:rPr>
          <w:rStyle w:val="161"/>
          <w:rFonts w:hint="eastAsia" w:ascii="宋体" w:hAnsi="宋体" w:eastAsia="宋体" w:cs="宋体"/>
          <w:color w:val="auto"/>
          <w:sz w:val="28"/>
          <w:szCs w:val="28"/>
          <w:highlight w:val="none"/>
          <w:lang w:val="en-US" w:eastAsia="zh-CN"/>
        </w:rPr>
        <w:t>29</w:t>
      </w:r>
      <w:r>
        <w:rPr>
          <w:rStyle w:val="161"/>
          <w:rFonts w:hint="eastAsia" w:ascii="宋体" w:hAnsi="宋体" w:eastAsia="宋体" w:cs="宋体"/>
          <w:color w:val="auto"/>
          <w:sz w:val="28"/>
          <w:szCs w:val="28"/>
          <w:highlight w:val="none"/>
        </w:rPr>
        <w:t>号）</w:t>
      </w:r>
      <w:r>
        <w:rPr>
          <w:rStyle w:val="161"/>
          <w:rFonts w:hint="eastAsia" w:ascii="宋体" w:hAnsi="宋体" w:eastAsia="宋体" w:cs="宋体"/>
          <w:color w:val="auto"/>
          <w:sz w:val="28"/>
          <w:szCs w:val="28"/>
          <w:highlight w:val="none"/>
          <w:lang w:eastAsia="zh-CN"/>
        </w:rPr>
        <w:t>匠心楼</w:t>
      </w:r>
      <w:r>
        <w:rPr>
          <w:rStyle w:val="161"/>
          <w:rFonts w:hint="eastAsia" w:ascii="宋体" w:hAnsi="宋体" w:eastAsia="宋体" w:cs="宋体"/>
          <w:color w:val="auto"/>
          <w:sz w:val="28"/>
          <w:szCs w:val="28"/>
          <w:highlight w:val="none"/>
          <w:lang w:val="en-US" w:eastAsia="zh-CN"/>
        </w:rPr>
        <w:t>1414会议室</w:t>
      </w:r>
      <w:r>
        <w:rPr>
          <w:rStyle w:val="161"/>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 xml:space="preserve"> </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六、公告期限</w:t>
      </w:r>
      <w:bookmarkEnd w:id="24"/>
      <w:bookmarkEnd w:id="25"/>
      <w:bookmarkEnd w:id="26"/>
      <w:bookmarkEnd w:id="27"/>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自本公告发布之日起5个工作日。</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8" w:name="_Toc35393804"/>
      <w:bookmarkStart w:id="29" w:name="_Toc35393635"/>
      <w:r>
        <w:rPr>
          <w:rFonts w:hint="eastAsia" w:ascii="宋体" w:hAnsi="宋体" w:eastAsia="宋体" w:cs="宋体"/>
          <w:b/>
          <w:bCs/>
          <w:color w:val="auto"/>
          <w:sz w:val="28"/>
          <w:szCs w:val="28"/>
          <w:highlight w:val="none"/>
        </w:rPr>
        <w:t>七、其他补充事宜</w:t>
      </w:r>
      <w:bookmarkEnd w:id="28"/>
      <w:bookmarkEnd w:id="29"/>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bookmarkStart w:id="30" w:name="_Toc35393636"/>
      <w:bookmarkStart w:id="31" w:name="_Toc35393805"/>
      <w:bookmarkStart w:id="32" w:name="_Toc28359018"/>
      <w:bookmarkStart w:id="33" w:name="_Toc28359095"/>
      <w:r>
        <w:rPr>
          <w:rFonts w:hint="eastAsia" w:ascii="宋体" w:hAnsi="宋体" w:eastAsia="宋体" w:cs="宋体"/>
          <w:color w:val="auto"/>
          <w:sz w:val="28"/>
          <w:szCs w:val="28"/>
          <w:highlight w:val="none"/>
        </w:rPr>
        <w:t>1、响应文件正本1份，副本</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份。</w:t>
      </w:r>
    </w:p>
    <w:p>
      <w:pPr>
        <w:pStyle w:val="162"/>
        <w:pageBreakBefore w:val="0"/>
        <w:tabs>
          <w:tab w:val="left" w:pos="0"/>
          <w:tab w:val="left" w:pos="3165"/>
          <w:tab w:val="center" w:pos="4153"/>
        </w:tabs>
        <w:kinsoku/>
        <w:wordWrap/>
        <w:overflowPunct/>
        <w:topLinePunct w:val="0"/>
        <w:autoSpaceDE/>
        <w:autoSpaceDN/>
        <w:bidi w:val="0"/>
        <w:snapToGrid w:val="0"/>
        <w:spacing w:line="400" w:lineRule="exact"/>
        <w:ind w:firstLine="560" w:firstLineChars="200"/>
        <w:jc w:val="left"/>
        <w:rPr>
          <w:rStyle w:val="161"/>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Style w:val="161"/>
          <w:rFonts w:hint="eastAsia" w:ascii="宋体" w:hAnsi="宋体" w:eastAsia="宋体" w:cs="宋体"/>
          <w:color w:val="auto"/>
          <w:sz w:val="28"/>
          <w:szCs w:val="28"/>
          <w:highlight w:val="none"/>
          <w:lang w:eastAsia="zh-CN"/>
        </w:rPr>
        <w:t>投标人的法定代表人（或委托代理人）需携带其二代身份证原件准时出席开标会议，否则做无效标处理</w:t>
      </w:r>
      <w:r>
        <w:rPr>
          <w:rStyle w:val="161"/>
          <w:rFonts w:hint="eastAsia" w:ascii="宋体" w:hAnsi="宋体" w:eastAsia="宋体" w:cs="宋体"/>
          <w:color w:val="auto"/>
          <w:sz w:val="28"/>
          <w:szCs w:val="28"/>
          <w:highlight w:val="none"/>
        </w:rPr>
        <w:t>。</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八、凡对本次采购提出询问，请按以下方式联系。</w:t>
      </w:r>
      <w:bookmarkEnd w:id="30"/>
      <w:bookmarkEnd w:id="31"/>
      <w:bookmarkEnd w:id="32"/>
      <w:bookmarkEnd w:id="33"/>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rPr>
        <w:t>1.采购人信息</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eastAsia="zh-CN"/>
        </w:rPr>
      </w:pPr>
      <w:r>
        <w:rPr>
          <w:rStyle w:val="161"/>
          <w:rFonts w:hint="eastAsia" w:ascii="宋体" w:hAnsi="宋体" w:eastAsia="宋体" w:cs="宋体"/>
          <w:color w:val="auto"/>
          <w:sz w:val="28"/>
          <w:szCs w:val="28"/>
          <w:highlight w:val="none"/>
        </w:rPr>
        <w:t>名称：</w:t>
      </w:r>
      <w:r>
        <w:rPr>
          <w:rStyle w:val="161"/>
          <w:rFonts w:hint="eastAsia" w:ascii="宋体" w:hAnsi="宋体" w:eastAsia="宋体" w:cs="宋体"/>
          <w:color w:val="auto"/>
          <w:sz w:val="28"/>
          <w:szCs w:val="28"/>
          <w:highlight w:val="none"/>
          <w:lang w:eastAsia="zh-CN"/>
        </w:rPr>
        <w:t>江苏省盐城技师学院</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地址：盐城市</w:t>
      </w:r>
      <w:r>
        <w:rPr>
          <w:rStyle w:val="161"/>
          <w:rFonts w:hint="eastAsia" w:ascii="宋体" w:hAnsi="宋体" w:eastAsia="宋体" w:cs="宋体"/>
          <w:color w:val="auto"/>
          <w:sz w:val="28"/>
          <w:szCs w:val="28"/>
          <w:highlight w:val="none"/>
          <w:lang w:eastAsia="zh-CN"/>
        </w:rPr>
        <w:t>盐都区海洋路</w:t>
      </w:r>
      <w:r>
        <w:rPr>
          <w:rStyle w:val="161"/>
          <w:rFonts w:hint="eastAsia" w:ascii="宋体" w:hAnsi="宋体" w:eastAsia="宋体" w:cs="宋体"/>
          <w:color w:val="auto"/>
          <w:sz w:val="28"/>
          <w:szCs w:val="28"/>
          <w:highlight w:val="none"/>
          <w:lang w:val="en-US" w:eastAsia="zh-CN"/>
        </w:rPr>
        <w:t>29号</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rPr>
        <w:t>联系人：</w:t>
      </w:r>
      <w:r>
        <w:rPr>
          <w:rStyle w:val="161"/>
          <w:rFonts w:hint="eastAsia" w:ascii="宋体" w:hAnsi="宋体" w:eastAsia="宋体" w:cs="宋体"/>
          <w:color w:val="auto"/>
          <w:sz w:val="28"/>
          <w:szCs w:val="28"/>
          <w:highlight w:val="none"/>
          <w:lang w:eastAsia="zh-CN"/>
        </w:rPr>
        <w:t>王</w:t>
      </w:r>
      <w:r>
        <w:rPr>
          <w:rStyle w:val="161"/>
          <w:rFonts w:hint="eastAsia" w:ascii="宋体" w:hAnsi="宋体" w:eastAsia="宋体" w:cs="宋体"/>
          <w:color w:val="auto"/>
          <w:sz w:val="28"/>
          <w:szCs w:val="28"/>
          <w:highlight w:val="none"/>
        </w:rPr>
        <w:t xml:space="preserve">老师             </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联系电话：0515-</w:t>
      </w:r>
      <w:r>
        <w:rPr>
          <w:rStyle w:val="161"/>
          <w:rFonts w:hint="eastAsia" w:ascii="宋体" w:hAnsi="宋体" w:eastAsia="宋体" w:cs="宋体"/>
          <w:color w:val="auto"/>
          <w:sz w:val="28"/>
          <w:szCs w:val="28"/>
          <w:highlight w:val="none"/>
          <w:lang w:val="en-US" w:eastAsia="zh-CN"/>
        </w:rPr>
        <w:t>68661002</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lang w:val="en-US" w:eastAsia="zh-CN"/>
        </w:rPr>
        <w:t>2</w:t>
      </w:r>
      <w:r>
        <w:rPr>
          <w:rStyle w:val="161"/>
          <w:rFonts w:hint="eastAsia" w:ascii="宋体" w:hAnsi="宋体" w:eastAsia="宋体" w:cs="宋体"/>
          <w:color w:val="auto"/>
          <w:sz w:val="28"/>
          <w:szCs w:val="28"/>
          <w:highlight w:val="none"/>
        </w:rPr>
        <w:t>.项目联系方式</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eastAsia="zh-CN"/>
        </w:rPr>
      </w:pPr>
      <w:r>
        <w:rPr>
          <w:rStyle w:val="161"/>
          <w:rFonts w:hint="eastAsia" w:ascii="宋体" w:hAnsi="宋体" w:eastAsia="宋体" w:cs="宋体"/>
          <w:color w:val="auto"/>
          <w:sz w:val="28"/>
          <w:szCs w:val="28"/>
          <w:highlight w:val="none"/>
        </w:rPr>
        <w:t>项目联系人：</w:t>
      </w:r>
      <w:r>
        <w:rPr>
          <w:rStyle w:val="161"/>
          <w:rFonts w:hint="eastAsia" w:ascii="宋体" w:hAnsi="宋体" w:eastAsia="宋体" w:cs="宋体"/>
          <w:color w:val="auto"/>
          <w:sz w:val="28"/>
          <w:szCs w:val="28"/>
          <w:highlight w:val="none"/>
          <w:lang w:eastAsia="zh-CN"/>
        </w:rPr>
        <w:t>严总</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联系电话：</w:t>
      </w:r>
      <w:r>
        <w:rPr>
          <w:rStyle w:val="161"/>
          <w:rFonts w:hint="eastAsia" w:ascii="宋体" w:hAnsi="宋体" w:eastAsia="宋体" w:cs="宋体"/>
          <w:color w:val="auto"/>
          <w:sz w:val="28"/>
          <w:szCs w:val="28"/>
          <w:highlight w:val="none"/>
          <w:lang w:val="en-US" w:eastAsia="zh-CN"/>
        </w:rPr>
        <w:t>15951559799</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rPr>
        <w:t>对项目需求部分的询问、质疑请向使用部门提出，询问、质疑由项目联系人负责答复。</w:t>
      </w:r>
    </w:p>
    <w:p>
      <w:pPr>
        <w:pStyle w:val="45"/>
        <w:pageBreakBefore w:val="0"/>
        <w:kinsoku/>
        <w:wordWrap/>
        <w:overflowPunct/>
        <w:topLinePunct w:val="0"/>
        <w:autoSpaceDE/>
        <w:autoSpaceDN/>
        <w:bidi w:val="0"/>
        <w:spacing w:line="400" w:lineRule="exact"/>
        <w:ind w:firstLine="480"/>
        <w:rPr>
          <w:rFonts w:hint="eastAsia" w:ascii="仿宋" w:hAnsi="仿宋" w:eastAsia="仿宋" w:cs="仿宋"/>
          <w:color w:val="auto"/>
          <w:sz w:val="28"/>
          <w:szCs w:val="28"/>
          <w:highlight w:val="none"/>
        </w:rPr>
      </w:pPr>
    </w:p>
    <w:bookmarkEnd w:id="1"/>
    <w:bookmarkEnd w:id="2"/>
    <w:bookmarkEnd w:id="3"/>
    <w:p>
      <w:pPr>
        <w:widowControl/>
        <w:jc w:val="center"/>
        <w:rPr>
          <w:rFonts w:hint="eastAsia" w:ascii="黑体" w:hAnsi="Arial" w:eastAsia="黑体" w:cs="Arial"/>
          <w:b/>
          <w:bCs/>
          <w:color w:val="auto"/>
          <w:sz w:val="44"/>
          <w:szCs w:val="44"/>
          <w:highlight w:val="none"/>
        </w:rPr>
      </w:pPr>
      <w:bookmarkStart w:id="34" w:name="_Toc4407"/>
    </w:p>
    <w:bookmarkEnd w:id="34"/>
    <w:p>
      <w:pPr>
        <w:pStyle w:val="44"/>
        <w:ind w:firstLine="210"/>
        <w:rPr>
          <w:rFonts w:ascii="宋体" w:hAnsi="宋体" w:cs="宋体"/>
          <w:color w:val="auto"/>
          <w:highlight w:val="none"/>
        </w:rPr>
      </w:pPr>
      <w:bookmarkStart w:id="35" w:name="_Toc26554097"/>
      <w:bookmarkStart w:id="36" w:name="_Toc23828480"/>
      <w:bookmarkStart w:id="37" w:name="_Toc61149622"/>
      <w:bookmarkStart w:id="38" w:name="_Toc23828483"/>
      <w:bookmarkStart w:id="39" w:name="_Toc513029281"/>
      <w:bookmarkStart w:id="40" w:name="_Toc120614284"/>
      <w:bookmarkStart w:id="41" w:name="_Toc26554103"/>
      <w:bookmarkStart w:id="42" w:name="_Toc49090582"/>
      <w:bookmarkStart w:id="43" w:name="_Toc22356583"/>
      <w:bookmarkStart w:id="44" w:name="_Toc120614291"/>
      <w:bookmarkStart w:id="45" w:name="_Toc24878535"/>
      <w:bookmarkStart w:id="47" w:name="_GoBack"/>
      <w:bookmarkEnd w:id="47"/>
    </w:p>
    <w:bookmarkEnd w:id="35"/>
    <w:bookmarkEnd w:id="36"/>
    <w:bookmarkEnd w:id="37"/>
    <w:bookmarkEnd w:id="38"/>
    <w:bookmarkEnd w:id="39"/>
    <w:bookmarkEnd w:id="40"/>
    <w:bookmarkEnd w:id="41"/>
    <w:bookmarkEnd w:id="42"/>
    <w:bookmarkEnd w:id="43"/>
    <w:bookmarkEnd w:id="44"/>
    <w:bookmarkEnd w:id="45"/>
    <w:p>
      <w:pPr>
        <w:ind w:firstLine="700"/>
        <w:jc w:val="center"/>
        <w:rPr>
          <w:rFonts w:ascii="宋体" w:hAnsi="宋体" w:cs="宋体"/>
          <w:color w:val="auto"/>
          <w:sz w:val="32"/>
          <w:szCs w:val="32"/>
          <w:highlight w:val="none"/>
        </w:rPr>
      </w:pPr>
      <w:bookmarkStart w:id="46" w:name="_Hlt26955054"/>
      <w:bookmarkEnd w:id="46"/>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方正姚体">
    <w:altName w:val="宋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Book Antiqua">
    <w:altName w:val="Segoe Print"/>
    <w:panose1 w:val="02040602050305030304"/>
    <w:charset w:val="00"/>
    <w:family w:val="roman"/>
    <w:pitch w:val="default"/>
    <w:sig w:usb0="00000000" w:usb1="00000000" w:usb2="00000000" w:usb3="00000000" w:csb0="2000009F" w:csb1="DFD7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793719"/>
    </w:sdtPr>
    <w:sdtContent>
      <w:p>
        <w:pPr>
          <w:pStyle w:val="28"/>
          <w:jc w:val="center"/>
        </w:pPr>
        <w:r>
          <w:fldChar w:fldCharType="begin"/>
        </w:r>
        <w:r>
          <w:instrText xml:space="preserve">PAGE   \* MERGEFORMAT</w:instrText>
        </w:r>
        <w:r>
          <w:fldChar w:fldCharType="separate"/>
        </w:r>
        <w:r>
          <w:rPr>
            <w:lang w:val="zh-CN"/>
          </w:rPr>
          <w:t>51</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4FD55"/>
    <w:multiLevelType w:val="multilevel"/>
    <w:tmpl w:val="8334FD55"/>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A895616A"/>
    <w:multiLevelType w:val="multilevel"/>
    <w:tmpl w:val="A895616A"/>
    <w:lvl w:ilvl="0" w:tentative="0">
      <w:start w:val="1"/>
      <w:numFmt w:val="decimal"/>
      <w:lvlText w:val="%1."/>
      <w:lvlJc w:val="left"/>
      <w:pPr>
        <w:ind w:left="432" w:hanging="432"/>
      </w:pPr>
    </w:lvl>
    <w:lvl w:ilvl="1" w:tentative="0">
      <w:start w:val="1"/>
      <w:numFmt w:val="decimal"/>
      <w:lvlText w:val="%1.%2."/>
      <w:lvlJc w:val="left"/>
      <w:pPr>
        <w:ind w:left="575" w:hanging="575"/>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1" w:hanging="1151"/>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3" w:hanging="1583"/>
      </w:pPr>
    </w:lvl>
  </w:abstractNum>
  <w:abstractNum w:abstractNumId="2">
    <w:nsid w:val="06784D56"/>
    <w:multiLevelType w:val="singleLevel"/>
    <w:tmpl w:val="06784D56"/>
    <w:lvl w:ilvl="0" w:tentative="0">
      <w:start w:val="1"/>
      <w:numFmt w:val="upperLetter"/>
      <w:pStyle w:val="103"/>
      <w:lvlText w:val="附录%1."/>
      <w:lvlJc w:val="left"/>
      <w:pPr>
        <w:tabs>
          <w:tab w:val="left" w:pos="907"/>
        </w:tabs>
        <w:ind w:left="907" w:hanging="907"/>
      </w:pPr>
    </w:lvl>
  </w:abstractNum>
  <w:abstractNum w:abstractNumId="3">
    <w:nsid w:val="237E4D61"/>
    <w:multiLevelType w:val="multilevel"/>
    <w:tmpl w:val="237E4D61"/>
    <w:lvl w:ilvl="0" w:tentative="0">
      <w:start w:val="1"/>
      <w:numFmt w:val="japaneseCounting"/>
      <w:pStyle w:val="109"/>
      <w:lvlText w:val="第%1章"/>
      <w:lvlJc w:val="left"/>
      <w:pPr>
        <w:ind w:left="9351" w:hanging="420"/>
      </w:pPr>
      <w:rPr>
        <w:rFonts w:hint="eastAsia" w:ascii="黑体" w:hAnsi="Times New Roman" w:eastAsia="黑体"/>
        <w:b w:val="0"/>
        <w:sz w:val="36"/>
        <w:lang w:val="en-US"/>
      </w:rPr>
    </w:lvl>
    <w:lvl w:ilvl="1" w:tentative="0">
      <w:start w:val="1"/>
      <w:numFmt w:val="decimal"/>
      <w:pStyle w:val="100"/>
      <w:isLgl/>
      <w:lvlText w:val="%1.%2"/>
      <w:lvlJc w:val="left"/>
      <w:rPr>
        <w:rFonts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2" w:tentative="0">
      <w:start w:val="1"/>
      <w:numFmt w:val="decimal"/>
      <w:pStyle w:val="99"/>
      <w:isLgl/>
      <w:lvlText w:val="%1.%2.%3"/>
      <w:lvlJc w:val="left"/>
      <w:rPr>
        <w:rFonts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tentative="0">
      <w:start w:val="1"/>
      <w:numFmt w:val="decimal"/>
      <w:pStyle w:val="89"/>
      <w:isLgl/>
      <w:lvlText w:val="%1.%2.%3.%4"/>
      <w:lvlJc w:val="left"/>
      <w:pPr>
        <w:tabs>
          <w:tab w:val="left" w:pos="1134"/>
        </w:tabs>
        <w:ind w:left="0" w:firstLine="0"/>
      </w:pPr>
    </w:lvl>
    <w:lvl w:ilvl="4" w:tentative="0">
      <w:start w:val="1"/>
      <w:numFmt w:val="decimal"/>
      <w:lvlText w:val="%1.%2.%3.%4.%5"/>
      <w:lvlJc w:val="left"/>
      <w:pPr>
        <w:tabs>
          <w:tab w:val="left" w:pos="4850"/>
        </w:tabs>
        <w:ind w:left="4620" w:hanging="850"/>
      </w:pPr>
    </w:lvl>
    <w:lvl w:ilvl="5" w:tentative="0">
      <w:start w:val="1"/>
      <w:numFmt w:val="decimal"/>
      <w:lvlText w:val="%1.%2.%3.%4.%5.%6"/>
      <w:lvlJc w:val="left"/>
      <w:pPr>
        <w:tabs>
          <w:tab w:val="left" w:pos="5635"/>
        </w:tabs>
        <w:ind w:left="5329" w:hanging="1134"/>
      </w:pPr>
    </w:lvl>
    <w:lvl w:ilvl="6" w:tentative="0">
      <w:start w:val="1"/>
      <w:numFmt w:val="decimal"/>
      <w:lvlText w:val="%1.%2.%3.%4.%5.%6.%7"/>
      <w:lvlJc w:val="left"/>
      <w:pPr>
        <w:tabs>
          <w:tab w:val="left" w:pos="6420"/>
        </w:tabs>
        <w:ind w:left="5896" w:hanging="1276"/>
      </w:pPr>
    </w:lvl>
    <w:lvl w:ilvl="7" w:tentative="0">
      <w:start w:val="1"/>
      <w:numFmt w:val="decimal"/>
      <w:lvlText w:val="%1.%2.%3.%4.%5.%6.%7.%8"/>
      <w:lvlJc w:val="left"/>
      <w:pPr>
        <w:tabs>
          <w:tab w:val="left" w:pos="6845"/>
        </w:tabs>
        <w:ind w:left="6463" w:hanging="1418"/>
      </w:pPr>
    </w:lvl>
    <w:lvl w:ilvl="8" w:tentative="0">
      <w:start w:val="1"/>
      <w:numFmt w:val="decimal"/>
      <w:lvlText w:val="%1.%2.%3.%4.%5.%6.%7.%8.%9"/>
      <w:lvlJc w:val="left"/>
      <w:pPr>
        <w:tabs>
          <w:tab w:val="left" w:pos="7631"/>
        </w:tabs>
        <w:ind w:left="7171" w:hanging="1700"/>
      </w:pPr>
    </w:lvl>
  </w:abstractNum>
  <w:abstractNum w:abstractNumId="4">
    <w:nsid w:val="4B9D1858"/>
    <w:multiLevelType w:val="multilevel"/>
    <w:tmpl w:val="4B9D1858"/>
    <w:lvl w:ilvl="0" w:tentative="0">
      <w:start w:val="1"/>
      <w:numFmt w:val="chineseCountingThousand"/>
      <w:suff w:val="space"/>
      <w:lvlText w:val="第%1部分"/>
      <w:lvlJc w:val="left"/>
      <w:pPr>
        <w:ind w:left="0" w:firstLine="0"/>
      </w:pPr>
      <w:rPr>
        <w:rFonts w:hint="eastAsia"/>
      </w:rPr>
    </w:lvl>
    <w:lvl w:ilvl="1" w:tentative="0">
      <w:start w:val="1"/>
      <w:numFmt w:val="chineseCountingThousand"/>
      <w:lvlText w:val="%2、"/>
      <w:lvlJc w:val="left"/>
      <w:pPr>
        <w:ind w:left="0" w:firstLine="0"/>
      </w:pPr>
      <w:rPr>
        <w:rFonts w:hint="eastAsia"/>
        <w:sz w:val="32"/>
        <w:szCs w:val="32"/>
        <w:lang w:val="en-US"/>
      </w:rPr>
    </w:lvl>
    <w:lvl w:ilvl="2" w:tentative="0">
      <w:start w:val="1"/>
      <w:numFmt w:val="decimal"/>
      <w:isLgl/>
      <w:suff w:val="space"/>
      <w:lvlText w:val="%2.%3"/>
      <w:lvlJc w:val="left"/>
      <w:pPr>
        <w:ind w:left="709" w:firstLine="0"/>
      </w:pPr>
      <w:rPr>
        <w:rFonts w:hint="eastAsia"/>
      </w:rPr>
    </w:lvl>
    <w:lvl w:ilvl="3" w:tentative="0">
      <w:start w:val="1"/>
      <w:numFmt w:val="decimal"/>
      <w:isLgl/>
      <w:suff w:val="space"/>
      <w:lvlText w:val="%2.%3.%4"/>
      <w:lvlJc w:val="left"/>
      <w:pPr>
        <w:ind w:left="1134" w:firstLine="0"/>
      </w:pPr>
      <w:rPr>
        <w:rFonts w:hint="eastAsia"/>
      </w:rPr>
    </w:lvl>
    <w:lvl w:ilvl="4" w:tentative="0">
      <w:start w:val="1"/>
      <w:numFmt w:val="decimal"/>
      <w:pStyle w:val="150"/>
      <w:isLgl/>
      <w:suff w:val="space"/>
      <w:lvlText w:val="%2.%3.%4.%5"/>
      <w:lvlJc w:val="left"/>
      <w:pPr>
        <w:ind w:left="0" w:firstLine="0"/>
      </w:pPr>
      <w:rPr>
        <w:rFonts w:hint="eastAsia"/>
      </w:rPr>
    </w:lvl>
    <w:lvl w:ilvl="5" w:tentative="0">
      <w:start w:val="1"/>
      <w:numFmt w:val="decimal"/>
      <w:pStyle w:val="151"/>
      <w:isLgl/>
      <w:suff w:val="space"/>
      <w:lvlText w:val="%2.%3.%4.%5.%6"/>
      <w:lvlJc w:val="left"/>
      <w:pPr>
        <w:ind w:left="0" w:firstLine="0"/>
      </w:pPr>
      <w:rPr>
        <w:rFonts w:hint="eastAsia"/>
      </w:rPr>
    </w:lvl>
    <w:lvl w:ilvl="6" w:tentative="0">
      <w:start w:val="1"/>
      <w:numFmt w:val="decimal"/>
      <w:pStyle w:val="152"/>
      <w:isLgl/>
      <w:suff w:val="space"/>
      <w:lvlText w:val="%2.%3.%4.%5.%6.%7"/>
      <w:lvlJc w:val="left"/>
      <w:pPr>
        <w:ind w:left="0" w:firstLine="0"/>
      </w:pPr>
      <w:rPr>
        <w:rFonts w:hint="eastAsia"/>
      </w:rPr>
    </w:lvl>
    <w:lvl w:ilvl="7" w:tentative="0">
      <w:start w:val="1"/>
      <w:numFmt w:val="decimal"/>
      <w:isLgl/>
      <w:suff w:val="space"/>
      <w:lvlText w:val="%2.%3.%4.%5.%6.%7.%8"/>
      <w:lvlJc w:val="left"/>
      <w:pPr>
        <w:ind w:left="0" w:firstLine="0"/>
      </w:pPr>
      <w:rPr>
        <w:rFonts w:hint="eastAsia"/>
      </w:rPr>
    </w:lvl>
    <w:lvl w:ilvl="8" w:tentative="0">
      <w:start w:val="1"/>
      <w:numFmt w:val="decimal"/>
      <w:isLgl/>
      <w:suff w:val="space"/>
      <w:lvlText w:val="%2.%3.%4.%5.%6.%7.%8.%9"/>
      <w:lvlJc w:val="left"/>
      <w:pPr>
        <w:ind w:left="0" w:firstLine="0"/>
      </w:pPr>
      <w:rPr>
        <w:rFonts w:hint="eastAsia"/>
      </w:rPr>
    </w:lvl>
  </w:abstractNum>
  <w:num w:numId="1">
    <w:abstractNumId w:val="1"/>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yZjZjZmE5OGMwOTQ4YjM3ZGY2ZGNmMGE4MGM4NjIifQ=="/>
  </w:docVars>
  <w:rsids>
    <w:rsidRoot w:val="000D7C53"/>
    <w:rsid w:val="00022DFD"/>
    <w:rsid w:val="00026F47"/>
    <w:rsid w:val="00070B07"/>
    <w:rsid w:val="000C312B"/>
    <w:rsid w:val="000D7C53"/>
    <w:rsid w:val="000F4294"/>
    <w:rsid w:val="000F740A"/>
    <w:rsid w:val="00152798"/>
    <w:rsid w:val="0016013B"/>
    <w:rsid w:val="001C681D"/>
    <w:rsid w:val="002151C7"/>
    <w:rsid w:val="002774D0"/>
    <w:rsid w:val="0029669E"/>
    <w:rsid w:val="002C3EC0"/>
    <w:rsid w:val="002D1291"/>
    <w:rsid w:val="002D644A"/>
    <w:rsid w:val="0032186D"/>
    <w:rsid w:val="0034032A"/>
    <w:rsid w:val="00353301"/>
    <w:rsid w:val="00365155"/>
    <w:rsid w:val="00375FAB"/>
    <w:rsid w:val="003A5691"/>
    <w:rsid w:val="003B0753"/>
    <w:rsid w:val="003B4031"/>
    <w:rsid w:val="003C2567"/>
    <w:rsid w:val="003C4968"/>
    <w:rsid w:val="003D0471"/>
    <w:rsid w:val="00412304"/>
    <w:rsid w:val="00415DC9"/>
    <w:rsid w:val="004278C2"/>
    <w:rsid w:val="004418C1"/>
    <w:rsid w:val="00442973"/>
    <w:rsid w:val="00455138"/>
    <w:rsid w:val="00481813"/>
    <w:rsid w:val="00486304"/>
    <w:rsid w:val="00486CE4"/>
    <w:rsid w:val="004944CF"/>
    <w:rsid w:val="00496F40"/>
    <w:rsid w:val="004D32D1"/>
    <w:rsid w:val="004F3CA7"/>
    <w:rsid w:val="004F45E1"/>
    <w:rsid w:val="00501FF0"/>
    <w:rsid w:val="00597599"/>
    <w:rsid w:val="005A2E09"/>
    <w:rsid w:val="005B40EE"/>
    <w:rsid w:val="005C4005"/>
    <w:rsid w:val="005C4870"/>
    <w:rsid w:val="005D05B0"/>
    <w:rsid w:val="005D5320"/>
    <w:rsid w:val="005F407A"/>
    <w:rsid w:val="006110C3"/>
    <w:rsid w:val="00615FD4"/>
    <w:rsid w:val="00627FB7"/>
    <w:rsid w:val="00637D21"/>
    <w:rsid w:val="006548C5"/>
    <w:rsid w:val="00665BED"/>
    <w:rsid w:val="00693E34"/>
    <w:rsid w:val="00705089"/>
    <w:rsid w:val="00730BCE"/>
    <w:rsid w:val="00734889"/>
    <w:rsid w:val="00736797"/>
    <w:rsid w:val="00751047"/>
    <w:rsid w:val="00753B21"/>
    <w:rsid w:val="00790497"/>
    <w:rsid w:val="007C2771"/>
    <w:rsid w:val="007D088F"/>
    <w:rsid w:val="007E1A6C"/>
    <w:rsid w:val="00812CDB"/>
    <w:rsid w:val="00837779"/>
    <w:rsid w:val="00853615"/>
    <w:rsid w:val="00863945"/>
    <w:rsid w:val="00870166"/>
    <w:rsid w:val="008723FF"/>
    <w:rsid w:val="00885E62"/>
    <w:rsid w:val="00891355"/>
    <w:rsid w:val="008B69A3"/>
    <w:rsid w:val="008E2BD6"/>
    <w:rsid w:val="008E4409"/>
    <w:rsid w:val="009043C0"/>
    <w:rsid w:val="00914E60"/>
    <w:rsid w:val="009459C4"/>
    <w:rsid w:val="009B2828"/>
    <w:rsid w:val="009B3BBC"/>
    <w:rsid w:val="009E0421"/>
    <w:rsid w:val="00A14379"/>
    <w:rsid w:val="00A2611C"/>
    <w:rsid w:val="00A42744"/>
    <w:rsid w:val="00A44D69"/>
    <w:rsid w:val="00A459DE"/>
    <w:rsid w:val="00A52D45"/>
    <w:rsid w:val="00A86DF1"/>
    <w:rsid w:val="00AB56F6"/>
    <w:rsid w:val="00AD2A7C"/>
    <w:rsid w:val="00AE08A3"/>
    <w:rsid w:val="00AE0BA4"/>
    <w:rsid w:val="00AE0DF6"/>
    <w:rsid w:val="00AE73A6"/>
    <w:rsid w:val="00B23FA5"/>
    <w:rsid w:val="00B46BC9"/>
    <w:rsid w:val="00B47182"/>
    <w:rsid w:val="00B64C44"/>
    <w:rsid w:val="00B77F11"/>
    <w:rsid w:val="00BC54E1"/>
    <w:rsid w:val="00BD4864"/>
    <w:rsid w:val="00BE461B"/>
    <w:rsid w:val="00C30B58"/>
    <w:rsid w:val="00C35D27"/>
    <w:rsid w:val="00C41B92"/>
    <w:rsid w:val="00CC0391"/>
    <w:rsid w:val="00CD4B95"/>
    <w:rsid w:val="00D17A4D"/>
    <w:rsid w:val="00D306AE"/>
    <w:rsid w:val="00D3737A"/>
    <w:rsid w:val="00D5050B"/>
    <w:rsid w:val="00D83CC0"/>
    <w:rsid w:val="00DA65E0"/>
    <w:rsid w:val="00DB6CBB"/>
    <w:rsid w:val="00DE2D0E"/>
    <w:rsid w:val="00E12769"/>
    <w:rsid w:val="00E70960"/>
    <w:rsid w:val="00EA11C4"/>
    <w:rsid w:val="00EA7B45"/>
    <w:rsid w:val="00EB46BF"/>
    <w:rsid w:val="00EE214C"/>
    <w:rsid w:val="00EE3350"/>
    <w:rsid w:val="00F35385"/>
    <w:rsid w:val="00F602F3"/>
    <w:rsid w:val="00F6277E"/>
    <w:rsid w:val="00FD1C65"/>
    <w:rsid w:val="0156177E"/>
    <w:rsid w:val="01BB7A8A"/>
    <w:rsid w:val="023870D5"/>
    <w:rsid w:val="02702D13"/>
    <w:rsid w:val="0291146D"/>
    <w:rsid w:val="02F7130B"/>
    <w:rsid w:val="04DB2989"/>
    <w:rsid w:val="0683418E"/>
    <w:rsid w:val="08275C22"/>
    <w:rsid w:val="08EA7C4C"/>
    <w:rsid w:val="08F5551A"/>
    <w:rsid w:val="09DB3EA5"/>
    <w:rsid w:val="0B3C3711"/>
    <w:rsid w:val="0BB02179"/>
    <w:rsid w:val="0CC63CC9"/>
    <w:rsid w:val="0DEC16FB"/>
    <w:rsid w:val="0DFA429B"/>
    <w:rsid w:val="0E167E86"/>
    <w:rsid w:val="0E655EEA"/>
    <w:rsid w:val="0E6830BF"/>
    <w:rsid w:val="0ED42B51"/>
    <w:rsid w:val="0EFD592E"/>
    <w:rsid w:val="102900BD"/>
    <w:rsid w:val="118525A3"/>
    <w:rsid w:val="122817CE"/>
    <w:rsid w:val="12886BFD"/>
    <w:rsid w:val="133F163F"/>
    <w:rsid w:val="134C3473"/>
    <w:rsid w:val="13543269"/>
    <w:rsid w:val="139E260E"/>
    <w:rsid w:val="15082DEC"/>
    <w:rsid w:val="15144B34"/>
    <w:rsid w:val="15644924"/>
    <w:rsid w:val="161C7AA9"/>
    <w:rsid w:val="170D1814"/>
    <w:rsid w:val="180276BA"/>
    <w:rsid w:val="1815603A"/>
    <w:rsid w:val="184E71FB"/>
    <w:rsid w:val="18AC55ED"/>
    <w:rsid w:val="1968609A"/>
    <w:rsid w:val="1BCD7E55"/>
    <w:rsid w:val="1C45504A"/>
    <w:rsid w:val="1D026AAE"/>
    <w:rsid w:val="1F23626A"/>
    <w:rsid w:val="1FF468DA"/>
    <w:rsid w:val="219534E9"/>
    <w:rsid w:val="21980AE8"/>
    <w:rsid w:val="223B36D0"/>
    <w:rsid w:val="22D447A0"/>
    <w:rsid w:val="2323619C"/>
    <w:rsid w:val="2593690B"/>
    <w:rsid w:val="25A3672E"/>
    <w:rsid w:val="264048FF"/>
    <w:rsid w:val="266A3208"/>
    <w:rsid w:val="269333D8"/>
    <w:rsid w:val="26BE19EF"/>
    <w:rsid w:val="289504BB"/>
    <w:rsid w:val="29B0449A"/>
    <w:rsid w:val="29E21551"/>
    <w:rsid w:val="29F20DD2"/>
    <w:rsid w:val="2A043C00"/>
    <w:rsid w:val="2A4F623E"/>
    <w:rsid w:val="2AB20D36"/>
    <w:rsid w:val="2AB355DC"/>
    <w:rsid w:val="2C0B1233"/>
    <w:rsid w:val="2E5E2687"/>
    <w:rsid w:val="2E8A5C80"/>
    <w:rsid w:val="2F321897"/>
    <w:rsid w:val="2F7A0213"/>
    <w:rsid w:val="3045283A"/>
    <w:rsid w:val="318A1209"/>
    <w:rsid w:val="31E3052A"/>
    <w:rsid w:val="32156581"/>
    <w:rsid w:val="33264BA4"/>
    <w:rsid w:val="364F6D4C"/>
    <w:rsid w:val="375A2874"/>
    <w:rsid w:val="37684241"/>
    <w:rsid w:val="376F5F0D"/>
    <w:rsid w:val="38672F8A"/>
    <w:rsid w:val="386F72D7"/>
    <w:rsid w:val="3B5D76DD"/>
    <w:rsid w:val="3B8701AA"/>
    <w:rsid w:val="3BF27759"/>
    <w:rsid w:val="3EA55FA4"/>
    <w:rsid w:val="3EDC3C1F"/>
    <w:rsid w:val="3F186D6D"/>
    <w:rsid w:val="3F597136"/>
    <w:rsid w:val="420F4A55"/>
    <w:rsid w:val="422A57D8"/>
    <w:rsid w:val="429C3915"/>
    <w:rsid w:val="44315157"/>
    <w:rsid w:val="44EE19D4"/>
    <w:rsid w:val="452205EB"/>
    <w:rsid w:val="456958B5"/>
    <w:rsid w:val="46731329"/>
    <w:rsid w:val="46880BBC"/>
    <w:rsid w:val="4A171FDF"/>
    <w:rsid w:val="4A343BEC"/>
    <w:rsid w:val="4C5009C4"/>
    <w:rsid w:val="4DD05C6D"/>
    <w:rsid w:val="4E1D4F44"/>
    <w:rsid w:val="4F083929"/>
    <w:rsid w:val="4F3937E2"/>
    <w:rsid w:val="50E023DF"/>
    <w:rsid w:val="544A38CB"/>
    <w:rsid w:val="54522BB3"/>
    <w:rsid w:val="54FC355F"/>
    <w:rsid w:val="57092685"/>
    <w:rsid w:val="57327A88"/>
    <w:rsid w:val="57363F2C"/>
    <w:rsid w:val="58BD4DB3"/>
    <w:rsid w:val="58BD750D"/>
    <w:rsid w:val="5994456E"/>
    <w:rsid w:val="5AB54B03"/>
    <w:rsid w:val="5AF17AE0"/>
    <w:rsid w:val="5B8747EB"/>
    <w:rsid w:val="5C5869CB"/>
    <w:rsid w:val="5DFD07F6"/>
    <w:rsid w:val="5E1A3C31"/>
    <w:rsid w:val="5E6260F4"/>
    <w:rsid w:val="605449AE"/>
    <w:rsid w:val="60B43691"/>
    <w:rsid w:val="60E56E68"/>
    <w:rsid w:val="62B45479"/>
    <w:rsid w:val="636820E0"/>
    <w:rsid w:val="63BF26EC"/>
    <w:rsid w:val="63C85702"/>
    <w:rsid w:val="63FF2507"/>
    <w:rsid w:val="647F1A54"/>
    <w:rsid w:val="65DF2C20"/>
    <w:rsid w:val="667E43B8"/>
    <w:rsid w:val="671A60A5"/>
    <w:rsid w:val="67B6759E"/>
    <w:rsid w:val="6828543E"/>
    <w:rsid w:val="693C70E7"/>
    <w:rsid w:val="6A633635"/>
    <w:rsid w:val="6CCC7736"/>
    <w:rsid w:val="6D3A173E"/>
    <w:rsid w:val="6DF211CB"/>
    <w:rsid w:val="6E79471B"/>
    <w:rsid w:val="6EB02F99"/>
    <w:rsid w:val="6EEA0E74"/>
    <w:rsid w:val="70591107"/>
    <w:rsid w:val="70847810"/>
    <w:rsid w:val="724C122A"/>
    <w:rsid w:val="730E64E0"/>
    <w:rsid w:val="74161AF0"/>
    <w:rsid w:val="746E6772"/>
    <w:rsid w:val="74C662F0"/>
    <w:rsid w:val="75107F5B"/>
    <w:rsid w:val="756E5A5A"/>
    <w:rsid w:val="75F46D0A"/>
    <w:rsid w:val="76097BCB"/>
    <w:rsid w:val="764D3566"/>
    <w:rsid w:val="77A8674E"/>
    <w:rsid w:val="77C4095B"/>
    <w:rsid w:val="798B088A"/>
    <w:rsid w:val="79CA2CA8"/>
    <w:rsid w:val="7A6A3DA2"/>
    <w:rsid w:val="7A707A80"/>
    <w:rsid w:val="7A784C14"/>
    <w:rsid w:val="7AEA5900"/>
    <w:rsid w:val="7B1623D5"/>
    <w:rsid w:val="7B595F40"/>
    <w:rsid w:val="7CE03EEC"/>
    <w:rsid w:val="7CE43D2A"/>
    <w:rsid w:val="7DEE7682"/>
    <w:rsid w:val="7E3003DC"/>
    <w:rsid w:val="7EFE565A"/>
    <w:rsid w:val="7F0F5A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